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Техническая часть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pStyle w:val="872"/>
        <w:ind w:left="0"/>
        <w:jc w:val="center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ОПИСАНИЕ ОБЪЕКТА ЗАКУПКИ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727"/>
        <w:tblW w:w="0" w:type="auto"/>
        <w:tblInd w:w="-754" w:type="dxa"/>
        <w:tblLayout w:type="fixed"/>
        <w:tblLook w:val="04A0" w:firstRow="1" w:lastRow="0" w:firstColumn="1" w:lastColumn="0" w:noHBand="0" w:noVBand="1"/>
      </w:tblPr>
      <w:tblGrid>
        <w:gridCol w:w="697"/>
        <w:gridCol w:w="5811"/>
        <w:gridCol w:w="1843"/>
        <w:gridCol w:w="2115"/>
      </w:tblGrid>
      <w:tr>
        <w:tblPrEx/>
        <w:trPr/>
        <w:tc>
          <w:tcPr>
            <w:tcW w:w="697" w:type="dxa"/>
            <w:textDirection w:val="lrTb"/>
            <w:noWrap w:val="false"/>
          </w:tcPr>
          <w:p>
            <w:pPr>
              <w:jc w:val="center"/>
              <w:tabs>
                <w:tab w:val="left" w:pos="0" w:leader="none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  <w:t xml:space="preserve">/п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5811" w:type="dxa"/>
            <w:textDirection w:val="lrTb"/>
            <w:noWrap w:val="false"/>
          </w:tcPr>
          <w:p>
            <w:pPr>
              <w:jc w:val="center"/>
              <w:tabs>
                <w:tab w:val="left" w:pos="0" w:leader="none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  <w:t xml:space="preserve">Наименование услуги, наименование характеристики (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показателя) услуги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  <w:tabs>
                <w:tab w:val="left" w:pos="0" w:leader="none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Единица измерения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характеристики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115" w:type="dxa"/>
            <w:textDirection w:val="lrTb"/>
            <w:noWrap w:val="false"/>
          </w:tcPr>
          <w:p>
            <w:pPr>
              <w:jc w:val="center"/>
              <w:tabs>
                <w:tab w:val="left" w:pos="0" w:leader="none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  <w:t xml:space="preserve">Значение характеристики (показателя)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/>
        <w:tc>
          <w:tcPr>
            <w:tcW w:w="69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5811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Код КТРУ: </w:t>
            </w:r>
            <w:hyperlink r:id="rId9" w:tooltip="https://zakupki.gov.ru/epz/ktru/ktruCard/commonInfo.html?itemId=61.10.40.000-00000026" w:history="1">
              <w:r>
                <w:rPr>
                  <w:rFonts w:ascii="Times New Roman" w:hAnsi="Times New Roman" w:eastAsia="Times New Roman" w:cs="Times New Roman"/>
                  <w:b/>
                  <w:bCs/>
                  <w:sz w:val="28"/>
                  <w:szCs w:val="28"/>
                </w:rPr>
                <w:t xml:space="preserve">61.10.40.000-00000026</w:t>
              </w:r>
            </w:hyperlink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14:ligatures w14:val="none"/>
              </w:rPr>
            </w:r>
          </w:p>
          <w:p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Услуги по дос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тупу к информационно-коммуникационной сети Интернет</w:t>
            </w: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1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69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1.1.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581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Пропускная способность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Мегабит  в секунду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1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Больше или равно 500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br w:type="page" w:clear="all"/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Приложение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 Технической части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hd w:val="clear" w:color="auto" w:fill="ffffff"/>
        </w:rPr>
      </w:pPr>
      <w:r>
        <w:rPr>
          <w:rFonts w:ascii="Times New Roman" w:hAnsi="Times New Roman" w:cs="Times New Roman"/>
          <w:b/>
          <w:shd w:val="clear" w:color="auto" w:fill="ffffff"/>
        </w:rPr>
      </w:r>
      <w:r>
        <w:rPr>
          <w:rFonts w:ascii="Times New Roman" w:hAnsi="Times New Roman" w:cs="Times New Roman"/>
          <w:b/>
          <w:shd w:val="clear" w:color="auto" w:fill="ffffff"/>
        </w:rPr>
      </w:r>
      <w:r>
        <w:rPr>
          <w:rFonts w:ascii="Times New Roman" w:hAnsi="Times New Roman" w:cs="Times New Roman"/>
          <w:b/>
          <w:shd w:val="clear" w:color="auto" w:fill="ffffff"/>
        </w:rPr>
      </w:r>
    </w:p>
    <w:p>
      <w:pPr>
        <w:pStyle w:val="872"/>
        <w:ind w:left="1440" w:firstLine="720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shd w:val="clear" w:color="auto" w:fill="ffffff"/>
        </w:rPr>
        <w:t xml:space="preserve">Общие требования к оказанию услуг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r>
    </w:p>
    <w:p>
      <w:pPr>
        <w:pStyle w:val="872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r>
    </w:p>
    <w:p>
      <w:pPr>
        <w:pStyle w:val="692"/>
        <w:jc w:val="both"/>
        <w:keepNext w:val="0"/>
        <w:spacing w:before="0"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Принятые обозначения и сокращения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9781" w:type="dxa"/>
        <w:tblInd w:w="-427" w:type="dxa"/>
        <w:tblLayout w:type="fixed"/>
        <w:tblLook w:val="0000" w:firstRow="0" w:lastRow="0" w:firstColumn="0" w:lastColumn="0" w:noHBand="0" w:noVBand="0"/>
      </w:tblPr>
      <w:tblGrid>
        <w:gridCol w:w="2725"/>
        <w:gridCol w:w="7056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2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ИТ-инфраструктура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5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Организованная для совместного функционирования совокупность систем инженерного обеспечения, каналов и линий связи, сетевых подсистем, в том числе ЛВС, общесистемного программного обеспечения, включая СУБ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Д, сре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дств хр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анения данных и серверного оборудования, рабочих станций пользователей, а также универсальных приложений общего пользования. ИТ-инфраструктура предоставляет общесистемные сервисы для функционирования бизнес-приложений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2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Оборудование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5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Аппаратные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средства с неотделимым от них программным кодом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344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2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ЦОД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5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Центр обработки данных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pStyle w:val="872"/>
        <w:numPr>
          <w:ilvl w:val="0"/>
          <w:numId w:val="2"/>
        </w:numPr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Периодичность оказания услуг, порядок и условия оказания услуг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: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72"/>
        <w:ind w:left="0"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С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1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05.2026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 по 21.12.2026 Исполнитель 24 часа в сутки 7 дней в неделю предоставляет Заказчику услугу по предоставлению  доступа в сеть Интернет.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872"/>
        <w:ind w:left="0" w:firstLine="709"/>
        <w:jc w:val="both"/>
        <w:spacing w:after="0" w:line="240" w:lineRule="auto"/>
        <w:tabs>
          <w:tab w:val="left" w:pos="1701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Исполнитель с момента заключения контракта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до 01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.05.202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6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обязан: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2"/>
        <w:ind w:left="0" w:firstLine="709"/>
        <w:jc w:val="both"/>
        <w:spacing w:after="0" w:line="240" w:lineRule="auto"/>
        <w:tabs>
          <w:tab w:val="left" w:pos="851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iCs/>
          <w:sz w:val="28"/>
          <w:szCs w:val="28"/>
        </w:rPr>
        <w:t xml:space="preserve">-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осуществить подключение сетевого и серверно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го Оборудования Заказчика в ЦОД Исполнителя к глобальной сети Интернет через собственную инфраструктуру с использованием 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IP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MPLS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сети. Если для предоставления услуг необходимо осуществление прокладки кабеля и осуществление установки телекоммуникационного о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борудования, то Исполнитель осуществляет прокладку коммуникационного кабеля и устанавливает необходимое телекоммуникационное оборудование за свой счет. При этом право собственности на телекоммуникационное оборудование и коммуникационный канал от Исполнител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я Заказчику не передается. Прокладка коммуникационного кабеля в обязательном порядке согласуется с Заказчиком.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2"/>
        <w:ind w:left="0" w:firstLine="709"/>
        <w:jc w:val="both"/>
        <w:spacing w:after="0" w:line="240" w:lineRule="auto"/>
        <w:tabs>
          <w:tab w:val="left" w:pos="851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- осуществить тестирование коммуникационного канала и телекоммуникационного оборудования, необходимого для подключения к глобальной сети Интернет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 осуществить первоначальную настройку телекоммуникационного оборудования.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2"/>
        <w:ind w:left="0"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Исполнитель и Заказчик по окончании прокладки телекоммуникационного кабеля и первоначальной настройки телекоммуникационного оборудования подписывают акт оказанных услуг по подключен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ию.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2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  <w:outlineLvl w:val="0"/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Мест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  <w:t xml:space="preserve">о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оказания услуг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both"/>
        <w:spacing w:after="0" w:line="240" w:lineRule="auto"/>
        <w:tabs>
          <w:tab w:val="left" w:pos="0" w:leader="none"/>
          <w:tab w:val="left" w:pos="72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Адрес предоставления услуги: г. Хабаровск, ул.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Промышленная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 д.20г, 4 этаж,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автозал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N3, место II.1, место II.2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tabs>
          <w:tab w:val="left" w:pos="0" w:leader="none"/>
          <w:tab w:val="left" w:pos="72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2"/>
        <w:numPr>
          <w:ilvl w:val="0"/>
          <w:numId w:val="2"/>
        </w:numPr>
        <w:ind w:left="0" w:firstLine="709"/>
        <w:jc w:val="both"/>
        <w:spacing w:after="0" w:line="240" w:lineRule="auto"/>
        <w:tabs>
          <w:tab w:val="left" w:pos="710" w:leader="none"/>
          <w:tab w:val="left" w:pos="993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iCs/>
          <w:sz w:val="28"/>
          <w:szCs w:val="28"/>
        </w:rPr>
        <w:t xml:space="preserve">Требования к оказанию услуг 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left" w:pos="709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Интерфейс подключения: дуплекс,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одномодное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оптическое волокно с интерфейсом L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C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tabs>
          <w:tab w:val="left" w:pos="709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Объем входящего / исходящего трафика, входящего в платежи, не ограничен.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tabs>
          <w:tab w:val="left" w:pos="709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Тип коммуникационного кабеля – оп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товолоконный кабель.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Оператор должен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предоставлятьне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менее 13 (тринадцать) статических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ip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-адресов версии 4 без права изменения выданных адресов в течение срока оказания услуг.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Исполнитель устанавливает, настраивает и подключает собственное коммуникационное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оборудование к оборудованию Заказчика.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Исполнитель должен обеспечить резервирование всех единиц активного оборудования, включенных в канал связи, по схеме 1+1 или более надежной.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Процент потерь (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Packet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Loss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) пакетов предоставляемого коммуникационного кан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ала не должен превышать 3 %.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Процент потерь пакетов (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Packet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Loss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) – отношение правильно принятых пакетов к общему количеству пакетов, которые были переданы по сети за определенный промежуток времени. Потери выражаются в процентах отброшенных пакетов, котор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ые не были доставлены по назначению.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Коэффициент доступности услуги должен составлять не менее 99,5% и рассчитываться по следующей формуле: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/>
      <m:oMath>
        <m:r>
          <w:rPr>
            <w:rFonts w:ascii="Cambria Math" w:hAnsi="Cambria Math" w:eastAsia="Cambria Math" w:cs="Cambria Math"/>
            <w:sz w:val="28"/>
            <w:szCs w:val="28"/>
          </w:rPr>
          <m:rPr>
            <m:sty m:val="p"/>
          </m:rPr>
          <m:t>коэффициент доступности = </m:t>
        </m:r>
        <m:f>
          <m:fPr>
            <m:ctrlPr>
              <w:rPr>
                <w:rFonts w:ascii="Cambria Math" w:hAnsi="Cambria Math" w:eastAsia="Cambria Math" w:cs="Cambria Math"/>
                <w:sz w:val="28"/>
              </w:rPr>
            </m:ctrlPr>
          </m:fPr>
          <m:num>
            <m:d>
              <m:dPr>
                <m:ctrlPr>
                  <w:rPr>
                    <w:rFonts w:ascii="Cambria Math" w:hAnsi="Cambria Math" w:eastAsia="Cambria Math" w:cs="Cambria Math"/>
                    <w:sz w:val="28"/>
                  </w:rPr>
                </m:ctrlPr>
              </m:dPr>
              <m:e>
                <m:r>
                  <w:rPr>
                    <w:rFonts w:ascii="Cambria Math" w:hAnsi="Cambria Math" w:eastAsia="Cambria Math" w:cs="Cambria Math"/>
                    <w:sz w:val="28"/>
                    <w:szCs w:val="28"/>
                  </w:rPr>
                  <m:rPr>
                    <m:sty m:val="p"/>
                  </m:rPr>
                  <m:t>24 часа ×30 дней</m:t>
                </m:r>
              </m:e>
            </m:d>
            <m:r>
              <w:rPr>
                <w:rFonts w:ascii="Cambria Math" w:hAnsi="Cambria Math" w:eastAsia="Cambria Math" w:cs="Cambria Math"/>
                <w:sz w:val="28"/>
                <w:szCs w:val="28"/>
              </w:rPr>
              <m:rPr>
                <m:sty m:val="p"/>
              </m:rPr>
              <m:t>-</m:t>
            </m:r>
            <m:r>
              <w:rPr>
                <w:rFonts w:ascii="Cambria Math" w:hAnsi="Cambria Math" w:eastAsia="Cambria Math" w:cs="Cambria Math"/>
                <w:sz w:val="28"/>
                <w:szCs w:val="28"/>
              </w:rPr>
              <m:rPr>
                <m:sty m:val="p"/>
              </m:rPr>
              <m:t> (время прерывания предоставления услуги)</m:t>
            </m:r>
          </m:num>
          <m:den>
            <m:r>
              <w:rPr>
                <w:rFonts w:ascii="Cambria Math" w:hAnsi="Cambria Math" w:eastAsia="Cambria Math" w:cs="Cambria Math"/>
                <w:sz w:val="28"/>
                <w:szCs w:val="28"/>
              </w:rPr>
              <m:rPr>
                <m:sty m:val="p"/>
              </m:rPr>
              <m:t>(24 часа ×30 дней)</m:t>
            </m:r>
          </m:den>
        </m:f>
        <m:r>
          <w:rPr>
            <w:rFonts w:ascii="Cambria Math" w:hAnsi="Cambria Math" w:eastAsia="Cambria Math" w:cs="Cambria Math"/>
            <w:sz w:val="28"/>
            <w:szCs w:val="28"/>
          </w:rPr>
          <m:rPr>
            <m:sty m:val="p"/>
          </m:rPr>
          <m:t> ×100%</m:t>
        </m:r>
      </m:oMath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где: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в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ремя прерывания предоставления услуги – это общее время (в часах) в течение одного календарного месяца, в течение которого услуга не предоставлялась.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4"/>
        <w:ind w:left="0" w:firstLine="709"/>
        <w:tabs>
          <w:tab w:val="left" w:pos="284" w:leader="none"/>
          <w:tab w:val="clear" w:pos="360" w:leader="none"/>
          <w:tab w:val="clear" w:pos="851" w:leader="none"/>
          <w:tab w:val="left" w:pos="1560" w:leader="none"/>
        </w:tabs>
        <w:rPr>
          <w:sz w:val="24"/>
          <w:szCs w:val="24"/>
        </w:rPr>
      </w:pPr>
      <w:r>
        <w:rPr>
          <w:rFonts w:eastAsia="Times New Roman"/>
          <w:sz w:val="28"/>
          <w:szCs w:val="28"/>
        </w:rPr>
        <w:t xml:space="preserve">Исполнитель обеспечивает подключение Заказчика с использованием динамической (по протоколу BGP) или статич</w:t>
      </w:r>
      <w:r>
        <w:rPr>
          <w:rFonts w:eastAsia="Times New Roman"/>
          <w:sz w:val="28"/>
          <w:szCs w:val="28"/>
        </w:rPr>
        <w:t xml:space="preserve">еской маршрутизации.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4"/>
        <w:ind w:left="0" w:firstLine="709"/>
        <w:tabs>
          <w:tab w:val="left" w:pos="284" w:leader="none"/>
          <w:tab w:val="clear" w:pos="360" w:leader="none"/>
          <w:tab w:val="clear" w:pos="851" w:leader="none"/>
          <w:tab w:val="left" w:pos="1560" w:leader="none"/>
        </w:tabs>
        <w:rPr>
          <w:sz w:val="24"/>
          <w:szCs w:val="24"/>
        </w:rPr>
      </w:pPr>
      <w:r>
        <w:rPr>
          <w:rFonts w:eastAsia="Times New Roman"/>
          <w:sz w:val="28"/>
          <w:szCs w:val="28"/>
        </w:rPr>
        <w:t xml:space="preserve">Исполнитель производит кроссирование дуплексного </w:t>
      </w:r>
      <w:r>
        <w:rPr>
          <w:rFonts w:eastAsia="Times New Roman"/>
          <w:sz w:val="28"/>
          <w:szCs w:val="28"/>
        </w:rPr>
        <w:t xml:space="preserve">одномодового</w:t>
      </w:r>
      <w:r>
        <w:rPr>
          <w:rFonts w:eastAsia="Times New Roman"/>
          <w:sz w:val="28"/>
          <w:szCs w:val="28"/>
        </w:rPr>
        <w:t xml:space="preserve"> оптоволоконного кабеля  в стойку Заказчика для дальнейшего подключения оборудования Заказчика. Для подключения используется SFP+ 10GE модуль (20 км, SM, 2 волокна,  1310 </w:t>
      </w:r>
      <w:r>
        <w:rPr>
          <w:rFonts w:eastAsia="Times New Roman"/>
          <w:sz w:val="28"/>
          <w:szCs w:val="28"/>
        </w:rPr>
        <w:t xml:space="preserve">nm</w:t>
      </w:r>
      <w:r>
        <w:rPr>
          <w:rFonts w:eastAsia="Times New Roman"/>
          <w:sz w:val="28"/>
          <w:szCs w:val="28"/>
        </w:rPr>
        <w:t xml:space="preserve">,</w:t>
      </w:r>
      <w:r>
        <w:rPr>
          <w:rFonts w:eastAsia="Times New Roman"/>
          <w:sz w:val="28"/>
          <w:szCs w:val="28"/>
        </w:rPr>
        <w:t xml:space="preserve"> LC, DDM).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4"/>
        <w:ind w:left="0" w:firstLine="709"/>
        <w:tabs>
          <w:tab w:val="left" w:pos="284" w:leader="none"/>
          <w:tab w:val="clear" w:pos="360" w:leader="none"/>
          <w:tab w:val="clear" w:pos="851" w:leader="none"/>
          <w:tab w:val="left" w:pos="1560" w:leader="none"/>
        </w:tabs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Продолжительность разового прерывания предоставления услуги не должна превышать 1 час.</w:t>
      </w:r>
      <w:r>
        <w:rPr>
          <w:rFonts w:eastAsia="Times New Roman"/>
          <w:sz w:val="28"/>
          <w:szCs w:val="28"/>
        </w:rPr>
      </w:r>
      <w:r>
        <w:rPr>
          <w:rFonts w:eastAsia="Times New Roman"/>
          <w:sz w:val="28"/>
          <w:szCs w:val="28"/>
        </w:rPr>
      </w:r>
    </w:p>
    <w:p>
      <w:pPr>
        <w:pStyle w:val="874"/>
        <w:ind w:left="0" w:firstLine="709"/>
        <w:tabs>
          <w:tab w:val="left" w:pos="284" w:leader="none"/>
          <w:tab w:val="clear" w:pos="360" w:leader="none"/>
          <w:tab w:val="clear" w:pos="851" w:leader="none"/>
          <w:tab w:val="left" w:pos="1560" w:leader="none"/>
        </w:tabs>
        <w:rPr>
          <w:rFonts w:eastAsia="Times New Roman"/>
          <w:sz w:val="32"/>
          <w:szCs w:val="32"/>
        </w:rPr>
      </w:pPr>
      <w:r>
        <w:rPr>
          <w:rFonts w:eastAsia="Times New Roman"/>
          <w:sz w:val="28"/>
          <w:szCs w:val="28"/>
        </w:rPr>
        <w:t xml:space="preserve">Исчисление прерывания предоставления услуги начинается с момента обращения Заказчика в службу технической поддержки Исполнителя, и завершается в момент решения проблемы. Исполнитель обеспечивает оперативное реагирование на вопросы и проблемы, возникающие п</w:t>
      </w:r>
      <w:r>
        <w:rPr>
          <w:rFonts w:eastAsia="Times New Roman"/>
          <w:sz w:val="28"/>
          <w:szCs w:val="28"/>
        </w:rPr>
        <w:t xml:space="preserve">ри пользовании услугами Исполнителя и связанные с ухудшением качества предоставления услуг. Время реакции Исполнителя на аварийную заявку Заказчика не должно превышать 4 (четырех) часов в рабочие дни с 9.00-18.00 по местному времени и 8 часов в остальное в</w:t>
      </w:r>
      <w:r>
        <w:rPr>
          <w:rFonts w:eastAsia="Times New Roman"/>
          <w:sz w:val="28"/>
          <w:szCs w:val="28"/>
        </w:rPr>
        <w:t xml:space="preserve">ремя, в том числе в выходные и праздничные дни.</w:t>
      </w:r>
      <w:r>
        <w:rPr>
          <w:rFonts w:eastAsia="Times New Roman"/>
          <w:sz w:val="32"/>
          <w:szCs w:val="32"/>
        </w:rPr>
      </w:r>
      <w:r>
        <w:rPr>
          <w:rFonts w:eastAsia="Times New Roman"/>
          <w:sz w:val="32"/>
          <w:szCs w:val="32"/>
        </w:rPr>
      </w:r>
    </w:p>
    <w:p>
      <w:pPr>
        <w:pStyle w:val="874"/>
        <w:ind w:left="0" w:firstLine="709"/>
        <w:tabs>
          <w:tab w:val="left" w:pos="284" w:leader="none"/>
          <w:tab w:val="clear" w:pos="360" w:leader="none"/>
          <w:tab w:val="clear" w:pos="851" w:leader="none"/>
          <w:tab w:val="left" w:pos="1560" w:leader="none"/>
        </w:tabs>
        <w:rPr>
          <w:rFonts w:eastAsia="Times New Roman"/>
          <w:sz w:val="32"/>
          <w:szCs w:val="32"/>
        </w:rPr>
      </w:pPr>
      <w:r>
        <w:rPr>
          <w:rFonts w:eastAsia="Times New Roman"/>
          <w:sz w:val="28"/>
          <w:szCs w:val="28"/>
        </w:rPr>
        <w:t xml:space="preserve">Прием обращений в службу технической поддержки Исполнителя должен осуществляться по телефону с обязательной регистрацией поданного обращения, фиксацией возникшей проблемы и последующим дублированием содержани</w:t>
      </w:r>
      <w:r>
        <w:rPr>
          <w:rFonts w:eastAsia="Times New Roman"/>
          <w:sz w:val="28"/>
          <w:szCs w:val="28"/>
        </w:rPr>
        <w:t xml:space="preserve">я обращения на электронную почту Заказчика в течение часа с момента обращения. Исполнитель обязан информировать Заказчика о ходе устранения проблемы и в течение суток после её решения </w:t>
      </w:r>
      <w:r>
        <w:rPr>
          <w:rFonts w:eastAsia="Times New Roman"/>
          <w:sz w:val="28"/>
          <w:szCs w:val="28"/>
        </w:rPr>
        <w:t xml:space="preserve">предоставить итоговый отчет</w:t>
      </w:r>
      <w:r>
        <w:rPr>
          <w:rFonts w:eastAsia="Times New Roman"/>
          <w:sz w:val="28"/>
          <w:szCs w:val="28"/>
        </w:rPr>
        <w:t xml:space="preserve"> о причинах возникновения данного инцидента в</w:t>
      </w:r>
      <w:r>
        <w:rPr>
          <w:rFonts w:eastAsia="Times New Roman"/>
          <w:sz w:val="28"/>
          <w:szCs w:val="28"/>
        </w:rPr>
        <w:t xml:space="preserve"> официальном письме, направленном ответственным лицом Исполнителя в адрес Заказчика посредством электронной почты.</w:t>
      </w:r>
      <w:r>
        <w:rPr>
          <w:rFonts w:eastAsia="Times New Roman"/>
          <w:sz w:val="32"/>
          <w:szCs w:val="32"/>
        </w:rPr>
      </w:r>
      <w:r>
        <w:rPr>
          <w:rFonts w:eastAsia="Times New Roman"/>
          <w:sz w:val="32"/>
          <w:szCs w:val="32"/>
        </w:rPr>
      </w:r>
    </w:p>
    <w:p>
      <w:pPr>
        <w:ind w:firstLine="709"/>
        <w:jc w:val="both"/>
        <w:spacing w:after="0" w:line="240" w:lineRule="auto"/>
        <w:tabs>
          <w:tab w:val="left" w:pos="284" w:leader="none"/>
          <w:tab w:val="left" w:pos="1560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 w:line="240" w:lineRule="auto"/>
        <w:tabs>
          <w:tab w:val="right" w:pos="0" w:leader="none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ind w:firstLine="709"/>
        <w:spacing w:after="0" w:line="240" w:lineRule="auto"/>
        <w:rPr>
          <w:rFonts w:ascii="Times New Roman" w:hAnsi="Times New Roman" w:cs="Times New Roman"/>
          <w:b/>
          <w:bCs/>
        </w:rPr>
        <w:outlineLvl w:val="0"/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4. Требования к результату закупки </w:t>
      </w: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872"/>
        <w:ind w:left="0"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Результатом за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купки является </w:t>
      </w:r>
      <w:r>
        <w:rPr>
          <w:rFonts w:ascii="Times New Roman" w:hAnsi="Times New Roman" w:eastAsia="Times New Roman" w:cs="Times New Roman"/>
          <w:bCs/>
          <w:color w:val="auto"/>
          <w:sz w:val="28"/>
          <w:szCs w:val="28"/>
          <w:highlight w:val="none"/>
        </w:rPr>
        <w:t xml:space="preserve">Оказание услуг по предоставлению резервного канала для организации доступа в сеть Интернет 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в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полном объеме в соответствии с требованиями Технической части.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 Math">
    <w:panose1 w:val="02040803050406030204"/>
  </w:font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Calibri">
    <w:panose1 w:val="020F0502020204030204"/>
  </w:font>
  <w:font w:name="Pragmatica">
    <w:panose1 w:val="02000603000000000000"/>
  </w:font>
  <w:font w:name="Tahoma">
    <w:panose1 w:val="020B0604030504040204"/>
  </w:font>
  <w:font w:name="MS Mincho">
    <w:panose1 w:val="02070609020205090404"/>
  </w:font>
  <w:font w:name="Times New Roman">
    <w:panose1 w:val="020206030504050203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1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 w:eastAsia="Calibri"/>
      </w:rPr>
    </w:lvl>
    <w:lvl w:ilvl="1">
      <w:start w:val="1"/>
      <w:numFmt w:val="decimal"/>
      <w:isLgl w:val="false"/>
      <w:suff w:val="tab"/>
      <w:lvlText w:val="%1.%2"/>
      <w:lvlJc w:val="left"/>
      <w:pPr>
        <w:ind w:left="1069" w:hanging="360"/>
      </w:pPr>
      <w:rPr>
        <w:rFonts w:hint="default" w:eastAsia="Calibri"/>
      </w:rPr>
    </w:lvl>
    <w:lvl w:ilvl="2">
      <w:start w:val="1"/>
      <w:numFmt w:val="decimal"/>
      <w:isLgl w:val="false"/>
      <w:suff w:val="tab"/>
      <w:lvlText w:val="%1.%2.%3"/>
      <w:lvlJc w:val="left"/>
      <w:pPr>
        <w:ind w:left="2138" w:hanging="720"/>
      </w:pPr>
      <w:rPr>
        <w:rFonts w:hint="default" w:eastAsia="Calibri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847" w:hanging="720"/>
      </w:pPr>
      <w:rPr>
        <w:rFonts w:hint="default" w:eastAsia="Calibri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3916" w:hanging="1080"/>
      </w:pPr>
      <w:rPr>
        <w:rFonts w:hint="default" w:eastAsia="Calibri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4625" w:hanging="1080"/>
      </w:pPr>
      <w:rPr>
        <w:rFonts w:hint="default" w:eastAsia="Calibri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5694" w:hanging="1440"/>
      </w:pPr>
      <w:rPr>
        <w:rFonts w:hint="default" w:eastAsia="Calibri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6403" w:hanging="1440"/>
      </w:pPr>
      <w:rPr>
        <w:rFonts w:hint="default" w:eastAsia="Calibri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7472" w:hanging="1800"/>
      </w:pPr>
      <w:rPr>
        <w:rFonts w:hint="default" w:eastAsia="Calibri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)"/>
      <w:lvlJc w:val="left"/>
      <w:pPr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3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isLgl w:val="false"/>
      <w:suff w:val="tab"/>
      <w:lvlText w:val="%1.%2"/>
      <w:lvlJc w:val="left"/>
      <w:pPr>
        <w:ind w:left="832" w:hanging="480"/>
      </w:pPr>
      <w:rPr>
        <w:rFonts w:hint="default"/>
      </w:rPr>
    </w:lvl>
    <w:lvl w:ilvl="2">
      <w:start w:val="2"/>
      <w:numFmt w:val="decimal"/>
      <w:isLgl w:val="false"/>
      <w:suff w:val="tab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 w:ascii="Times New Roman" w:hAnsi="Times New Roman" w:cs="Times New Roman"/>
        <w:sz w:val="26"/>
        <w:szCs w:val="26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 w:cs="Times New Roman"/>
        <w:b w:val="0"/>
        <w:sz w:val="26"/>
        <w:szCs w:val="26"/>
      </w:rPr>
    </w:lvl>
    <w:lvl w:ilvl="2">
      <w:start w:val="1"/>
      <w:numFmt w:val="decimal"/>
      <w:isLgl w:val="false"/>
      <w:suff w:val="tab"/>
      <w:lvlText w:val="8.%3."/>
      <w:lvlJc w:val="left"/>
      <w:pPr>
        <w:ind w:left="1260" w:hanging="360"/>
        <w:tabs>
          <w:tab w:val="num" w:pos="1260" w:leader="none"/>
        </w:tabs>
      </w:pPr>
      <w:rPr>
        <w:rFonts w:hint="default" w:cs="Times New Roman"/>
        <w:sz w:val="26"/>
        <w:szCs w:val="26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24" w:hanging="864"/>
        <w:tabs>
          <w:tab w:val="num" w:pos="1224" w:leader="none"/>
        </w:tabs>
      </w:pPr>
      <w:rPr>
        <w:rFonts w:hint="default" w:ascii="Times New Roman" w:hAnsi="Times New Roman" w:cs="Times New Roman"/>
        <w:i w:val="0"/>
        <w:sz w:val="26"/>
        <w:szCs w:val="26"/>
      </w:rPr>
    </w:lvl>
    <w:lvl w:ilvl="4">
      <w:start w:val="1"/>
      <w:numFmt w:val="russianLower"/>
      <w:isLgl w:val="false"/>
      <w:suff w:val="tab"/>
      <w:lvlText w:val="%5)"/>
      <w:lvlJc w:val="left"/>
      <w:pPr>
        <w:ind w:left="1800" w:hanging="360"/>
        <w:tabs>
          <w:tab w:val="num" w:pos="1800" w:leader="none"/>
        </w:tabs>
      </w:pPr>
      <w:rPr>
        <w:rFonts w:hint="default" w:cs="Times New Roman"/>
        <w:sz w:val="26"/>
        <w:szCs w:val="26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 w:cs="Times New Roman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suff w:val="tab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10" w:hanging="1800"/>
      </w:pPr>
      <w:rPr>
        <w:rFonts w:hint="default"/>
      </w:rPr>
    </w:lvl>
  </w:abstractNum>
  <w:num w:numId="1">
    <w:abstractNumId w:val="4"/>
  </w:num>
  <w:num w:numId="2">
    <w:abstractNumId w:val="8"/>
  </w:num>
  <w:num w:numId="3">
    <w:abstractNumId w:val="2"/>
  </w:num>
  <w:num w:numId="4">
    <w:abstractNumId w:val="6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73">
    <w:name w:val="Heading 1 Char"/>
    <w:basedOn w:val="701"/>
    <w:link w:val="692"/>
    <w:uiPriority w:val="9"/>
    <w:rPr>
      <w:rFonts w:ascii="Arial" w:hAnsi="Arial" w:eastAsia="Arial" w:cs="Arial"/>
      <w:sz w:val="40"/>
      <w:szCs w:val="40"/>
    </w:rPr>
  </w:style>
  <w:style w:type="character" w:styleId="674">
    <w:name w:val="Heading 2 Char"/>
    <w:basedOn w:val="701"/>
    <w:link w:val="693"/>
    <w:uiPriority w:val="9"/>
    <w:rPr>
      <w:rFonts w:ascii="Arial" w:hAnsi="Arial" w:eastAsia="Arial" w:cs="Arial"/>
      <w:sz w:val="34"/>
    </w:rPr>
  </w:style>
  <w:style w:type="character" w:styleId="675">
    <w:name w:val="Heading 3 Char"/>
    <w:basedOn w:val="701"/>
    <w:link w:val="694"/>
    <w:uiPriority w:val="9"/>
    <w:rPr>
      <w:rFonts w:ascii="Arial" w:hAnsi="Arial" w:eastAsia="Arial" w:cs="Arial"/>
      <w:sz w:val="30"/>
      <w:szCs w:val="30"/>
    </w:rPr>
  </w:style>
  <w:style w:type="character" w:styleId="676">
    <w:name w:val="Heading 4 Char"/>
    <w:basedOn w:val="701"/>
    <w:link w:val="695"/>
    <w:uiPriority w:val="9"/>
    <w:rPr>
      <w:rFonts w:ascii="Arial" w:hAnsi="Arial" w:eastAsia="Arial" w:cs="Arial"/>
      <w:b/>
      <w:bCs/>
      <w:sz w:val="26"/>
      <w:szCs w:val="26"/>
    </w:rPr>
  </w:style>
  <w:style w:type="character" w:styleId="677">
    <w:name w:val="Heading 5 Char"/>
    <w:basedOn w:val="701"/>
    <w:link w:val="696"/>
    <w:uiPriority w:val="9"/>
    <w:rPr>
      <w:rFonts w:ascii="Arial" w:hAnsi="Arial" w:eastAsia="Arial" w:cs="Arial"/>
      <w:b/>
      <w:bCs/>
      <w:sz w:val="24"/>
      <w:szCs w:val="24"/>
    </w:rPr>
  </w:style>
  <w:style w:type="character" w:styleId="678">
    <w:name w:val="Heading 6 Char"/>
    <w:basedOn w:val="701"/>
    <w:link w:val="697"/>
    <w:uiPriority w:val="9"/>
    <w:rPr>
      <w:rFonts w:ascii="Arial" w:hAnsi="Arial" w:eastAsia="Arial" w:cs="Arial"/>
      <w:b/>
      <w:bCs/>
      <w:sz w:val="22"/>
      <w:szCs w:val="22"/>
    </w:rPr>
  </w:style>
  <w:style w:type="character" w:styleId="679">
    <w:name w:val="Heading 7 Char"/>
    <w:basedOn w:val="701"/>
    <w:link w:val="69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80">
    <w:name w:val="Heading 8 Char"/>
    <w:basedOn w:val="701"/>
    <w:link w:val="699"/>
    <w:uiPriority w:val="9"/>
    <w:rPr>
      <w:rFonts w:ascii="Arial" w:hAnsi="Arial" w:eastAsia="Arial" w:cs="Arial"/>
      <w:i/>
      <w:iCs/>
      <w:sz w:val="22"/>
      <w:szCs w:val="22"/>
    </w:rPr>
  </w:style>
  <w:style w:type="character" w:styleId="681">
    <w:name w:val="Heading 9 Char"/>
    <w:basedOn w:val="701"/>
    <w:link w:val="700"/>
    <w:uiPriority w:val="9"/>
    <w:rPr>
      <w:rFonts w:ascii="Arial" w:hAnsi="Arial" w:eastAsia="Arial" w:cs="Arial"/>
      <w:i/>
      <w:iCs/>
      <w:sz w:val="21"/>
      <w:szCs w:val="21"/>
    </w:rPr>
  </w:style>
  <w:style w:type="character" w:styleId="682">
    <w:name w:val="Title Char"/>
    <w:basedOn w:val="701"/>
    <w:link w:val="713"/>
    <w:uiPriority w:val="10"/>
    <w:rPr>
      <w:sz w:val="48"/>
      <w:szCs w:val="48"/>
    </w:rPr>
  </w:style>
  <w:style w:type="character" w:styleId="683">
    <w:name w:val="Subtitle Char"/>
    <w:basedOn w:val="701"/>
    <w:link w:val="715"/>
    <w:uiPriority w:val="11"/>
    <w:rPr>
      <w:sz w:val="24"/>
      <w:szCs w:val="24"/>
    </w:rPr>
  </w:style>
  <w:style w:type="character" w:styleId="684">
    <w:name w:val="Quote Char"/>
    <w:link w:val="717"/>
    <w:uiPriority w:val="29"/>
    <w:rPr>
      <w:i/>
    </w:rPr>
  </w:style>
  <w:style w:type="character" w:styleId="685">
    <w:name w:val="Intense Quote Char"/>
    <w:link w:val="719"/>
    <w:uiPriority w:val="30"/>
    <w:rPr>
      <w:i/>
    </w:rPr>
  </w:style>
  <w:style w:type="character" w:styleId="686">
    <w:name w:val="Header Char"/>
    <w:basedOn w:val="701"/>
    <w:link w:val="721"/>
    <w:uiPriority w:val="99"/>
  </w:style>
  <w:style w:type="character" w:styleId="687">
    <w:name w:val="Footer Char"/>
    <w:basedOn w:val="701"/>
    <w:link w:val="723"/>
    <w:uiPriority w:val="99"/>
  </w:style>
  <w:style w:type="character" w:styleId="688">
    <w:name w:val="Caption Char"/>
    <w:basedOn w:val="701"/>
    <w:link w:val="725"/>
    <w:uiPriority w:val="35"/>
    <w:rPr>
      <w:b/>
      <w:bCs/>
      <w:color w:val="4f81bd" w:themeColor="accent1"/>
      <w:sz w:val="18"/>
      <w:szCs w:val="18"/>
    </w:rPr>
  </w:style>
  <w:style w:type="character" w:styleId="689">
    <w:name w:val="Footnote Text Char"/>
    <w:link w:val="854"/>
    <w:uiPriority w:val="99"/>
    <w:rPr>
      <w:sz w:val="18"/>
    </w:rPr>
  </w:style>
  <w:style w:type="character" w:styleId="690">
    <w:name w:val="Endnote Text Char"/>
    <w:link w:val="857"/>
    <w:uiPriority w:val="99"/>
    <w:rPr>
      <w:sz w:val="20"/>
    </w:rPr>
  </w:style>
  <w:style w:type="paragraph" w:styleId="691" w:default="1">
    <w:name w:val="Normal"/>
    <w:qFormat/>
  </w:style>
  <w:style w:type="paragraph" w:styleId="692">
    <w:name w:val="Heading 1"/>
    <w:basedOn w:val="691"/>
    <w:next w:val="691"/>
    <w:link w:val="704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693">
    <w:name w:val="Heading 2"/>
    <w:basedOn w:val="691"/>
    <w:next w:val="691"/>
    <w:link w:val="705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694">
    <w:name w:val="Heading 3"/>
    <w:basedOn w:val="691"/>
    <w:next w:val="691"/>
    <w:link w:val="706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695">
    <w:name w:val="Heading 4"/>
    <w:basedOn w:val="691"/>
    <w:next w:val="691"/>
    <w:link w:val="707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96">
    <w:name w:val="Heading 5"/>
    <w:basedOn w:val="691"/>
    <w:next w:val="691"/>
    <w:link w:val="708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97">
    <w:name w:val="Heading 6"/>
    <w:basedOn w:val="691"/>
    <w:next w:val="691"/>
    <w:link w:val="709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698">
    <w:name w:val="Heading 7"/>
    <w:basedOn w:val="691"/>
    <w:next w:val="691"/>
    <w:link w:val="710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699">
    <w:name w:val="Heading 8"/>
    <w:basedOn w:val="691"/>
    <w:next w:val="691"/>
    <w:link w:val="711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700">
    <w:name w:val="Heading 9"/>
    <w:basedOn w:val="691"/>
    <w:next w:val="691"/>
    <w:link w:val="712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1" w:default="1">
    <w:name w:val="Default Paragraph Font"/>
    <w:uiPriority w:val="1"/>
    <w:semiHidden/>
    <w:unhideWhenUsed/>
  </w:style>
  <w:style w:type="table" w:styleId="70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03" w:default="1">
    <w:name w:val="No List"/>
    <w:uiPriority w:val="99"/>
    <w:semiHidden/>
    <w:unhideWhenUsed/>
  </w:style>
  <w:style w:type="character" w:styleId="704" w:customStyle="1">
    <w:name w:val="Заголовок 1 Знак"/>
    <w:link w:val="692"/>
    <w:uiPriority w:val="9"/>
    <w:rPr>
      <w:rFonts w:ascii="Arial" w:hAnsi="Arial" w:eastAsia="Arial" w:cs="Arial"/>
      <w:sz w:val="40"/>
      <w:szCs w:val="40"/>
    </w:rPr>
  </w:style>
  <w:style w:type="character" w:styleId="705" w:customStyle="1">
    <w:name w:val="Заголовок 2 Знак"/>
    <w:link w:val="693"/>
    <w:uiPriority w:val="9"/>
    <w:rPr>
      <w:rFonts w:ascii="Arial" w:hAnsi="Arial" w:eastAsia="Arial" w:cs="Arial"/>
      <w:sz w:val="34"/>
    </w:rPr>
  </w:style>
  <w:style w:type="character" w:styleId="706" w:customStyle="1">
    <w:name w:val="Заголовок 3 Знак"/>
    <w:link w:val="694"/>
    <w:uiPriority w:val="9"/>
    <w:rPr>
      <w:rFonts w:ascii="Arial" w:hAnsi="Arial" w:eastAsia="Arial" w:cs="Arial"/>
      <w:sz w:val="30"/>
      <w:szCs w:val="30"/>
    </w:rPr>
  </w:style>
  <w:style w:type="character" w:styleId="707" w:customStyle="1">
    <w:name w:val="Заголовок 4 Знак"/>
    <w:link w:val="695"/>
    <w:uiPriority w:val="9"/>
    <w:rPr>
      <w:rFonts w:ascii="Arial" w:hAnsi="Arial" w:eastAsia="Arial" w:cs="Arial"/>
      <w:b/>
      <w:bCs/>
      <w:sz w:val="26"/>
      <w:szCs w:val="26"/>
    </w:rPr>
  </w:style>
  <w:style w:type="character" w:styleId="708" w:customStyle="1">
    <w:name w:val="Заголовок 5 Знак"/>
    <w:link w:val="696"/>
    <w:uiPriority w:val="9"/>
    <w:rPr>
      <w:rFonts w:ascii="Arial" w:hAnsi="Arial" w:eastAsia="Arial" w:cs="Arial"/>
      <w:b/>
      <w:bCs/>
      <w:sz w:val="24"/>
      <w:szCs w:val="24"/>
    </w:rPr>
  </w:style>
  <w:style w:type="character" w:styleId="709" w:customStyle="1">
    <w:name w:val="Заголовок 6 Знак"/>
    <w:link w:val="697"/>
    <w:uiPriority w:val="9"/>
    <w:rPr>
      <w:rFonts w:ascii="Arial" w:hAnsi="Arial" w:eastAsia="Arial" w:cs="Arial"/>
      <w:b/>
      <w:bCs/>
      <w:sz w:val="22"/>
      <w:szCs w:val="22"/>
    </w:rPr>
  </w:style>
  <w:style w:type="character" w:styleId="710" w:customStyle="1">
    <w:name w:val="Заголовок 7 Знак"/>
    <w:link w:val="69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11" w:customStyle="1">
    <w:name w:val="Заголовок 8 Знак"/>
    <w:link w:val="699"/>
    <w:uiPriority w:val="9"/>
    <w:rPr>
      <w:rFonts w:ascii="Arial" w:hAnsi="Arial" w:eastAsia="Arial" w:cs="Arial"/>
      <w:i/>
      <w:iCs/>
      <w:sz w:val="22"/>
      <w:szCs w:val="22"/>
    </w:rPr>
  </w:style>
  <w:style w:type="character" w:styleId="712" w:customStyle="1">
    <w:name w:val="Заголовок 9 Знак"/>
    <w:link w:val="700"/>
    <w:uiPriority w:val="9"/>
    <w:rPr>
      <w:rFonts w:ascii="Arial" w:hAnsi="Arial" w:eastAsia="Arial" w:cs="Arial"/>
      <w:i/>
      <w:iCs/>
      <w:sz w:val="21"/>
      <w:szCs w:val="21"/>
    </w:rPr>
  </w:style>
  <w:style w:type="paragraph" w:styleId="713">
    <w:name w:val="Title"/>
    <w:basedOn w:val="691"/>
    <w:next w:val="691"/>
    <w:link w:val="714"/>
    <w:uiPriority w:val="10"/>
    <w:qFormat/>
    <w:pPr>
      <w:contextualSpacing/>
      <w:spacing w:before="300"/>
    </w:pPr>
    <w:rPr>
      <w:sz w:val="48"/>
      <w:szCs w:val="48"/>
    </w:rPr>
  </w:style>
  <w:style w:type="character" w:styleId="714" w:customStyle="1">
    <w:name w:val="Название Знак"/>
    <w:link w:val="713"/>
    <w:uiPriority w:val="10"/>
    <w:rPr>
      <w:sz w:val="48"/>
      <w:szCs w:val="48"/>
    </w:rPr>
  </w:style>
  <w:style w:type="paragraph" w:styleId="715">
    <w:name w:val="Subtitle"/>
    <w:basedOn w:val="691"/>
    <w:next w:val="691"/>
    <w:link w:val="716"/>
    <w:uiPriority w:val="11"/>
    <w:qFormat/>
    <w:pPr>
      <w:spacing w:before="200"/>
    </w:pPr>
    <w:rPr>
      <w:sz w:val="24"/>
      <w:szCs w:val="24"/>
    </w:rPr>
  </w:style>
  <w:style w:type="character" w:styleId="716" w:customStyle="1">
    <w:name w:val="Подзаголовок Знак"/>
    <w:link w:val="715"/>
    <w:uiPriority w:val="11"/>
    <w:rPr>
      <w:sz w:val="24"/>
      <w:szCs w:val="24"/>
    </w:rPr>
  </w:style>
  <w:style w:type="paragraph" w:styleId="717">
    <w:name w:val="Quote"/>
    <w:basedOn w:val="691"/>
    <w:next w:val="691"/>
    <w:link w:val="718"/>
    <w:uiPriority w:val="29"/>
    <w:qFormat/>
    <w:pPr>
      <w:ind w:left="720" w:right="720"/>
    </w:pPr>
    <w:rPr>
      <w:i/>
    </w:rPr>
  </w:style>
  <w:style w:type="character" w:styleId="718" w:customStyle="1">
    <w:name w:val="Цитата 2 Знак"/>
    <w:link w:val="717"/>
    <w:uiPriority w:val="29"/>
    <w:rPr>
      <w:i/>
    </w:rPr>
  </w:style>
  <w:style w:type="paragraph" w:styleId="719">
    <w:name w:val="Intense Quote"/>
    <w:basedOn w:val="691"/>
    <w:next w:val="691"/>
    <w:link w:val="72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0" w:customStyle="1">
    <w:name w:val="Выделенная цитата Знак"/>
    <w:link w:val="719"/>
    <w:uiPriority w:val="30"/>
    <w:rPr>
      <w:i/>
    </w:rPr>
  </w:style>
  <w:style w:type="paragraph" w:styleId="721">
    <w:name w:val="Header"/>
    <w:basedOn w:val="691"/>
    <w:link w:val="72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2" w:customStyle="1">
    <w:name w:val="Верхний колонтитул Знак"/>
    <w:link w:val="721"/>
    <w:uiPriority w:val="99"/>
  </w:style>
  <w:style w:type="paragraph" w:styleId="723">
    <w:name w:val="Footer"/>
    <w:basedOn w:val="691"/>
    <w:link w:val="72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4" w:customStyle="1">
    <w:name w:val="Нижний колонтитул Знак"/>
    <w:link w:val="723"/>
    <w:uiPriority w:val="99"/>
  </w:style>
  <w:style w:type="paragraph" w:styleId="725">
    <w:name w:val="Caption"/>
    <w:basedOn w:val="691"/>
    <w:next w:val="691"/>
    <w:link w:val="726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styleId="726" w:customStyle="1">
    <w:name w:val="Название объекта Знак"/>
    <w:link w:val="725"/>
    <w:uiPriority w:val="35"/>
    <w:rPr>
      <w:b/>
      <w:bCs/>
      <w:color w:val="5b9bd5" w:themeColor="accent1"/>
      <w:sz w:val="18"/>
      <w:szCs w:val="18"/>
    </w:rPr>
  </w:style>
  <w:style w:type="table" w:styleId="727">
    <w:name w:val="Table Grid"/>
    <w:basedOn w:val="702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28" w:customStyle="1">
    <w:name w:val="Table Grid Light"/>
    <w:basedOn w:val="702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29" w:customStyle="1">
    <w:name w:val="Plain Table 1"/>
    <w:basedOn w:val="702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0" w:customStyle="1">
    <w:name w:val="Plain Table 2"/>
    <w:basedOn w:val="702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1" w:customStyle="1">
    <w:name w:val="Plain Table 3"/>
    <w:basedOn w:val="70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2" w:customStyle="1">
    <w:name w:val="Plain Table 4"/>
    <w:basedOn w:val="70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 w:customStyle="1">
    <w:name w:val="Plain Table 5"/>
    <w:basedOn w:val="70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1 Light"/>
    <w:basedOn w:val="7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 w:customStyle="1">
    <w:name w:val="Grid Table 1 Light - Accent 1"/>
    <w:basedOn w:val="7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 w:customStyle="1">
    <w:name w:val="Grid Table 1 Light - Accent 2"/>
    <w:basedOn w:val="7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 w:customStyle="1">
    <w:name w:val="Grid Table 1 Light - Accent 3"/>
    <w:basedOn w:val="7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 w:customStyle="1">
    <w:name w:val="Grid Table 1 Light - Accent 4"/>
    <w:basedOn w:val="7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 w:customStyle="1">
    <w:name w:val="Grid Table 1 Light - Accent 5"/>
    <w:basedOn w:val="7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 w:customStyle="1">
    <w:name w:val="Grid Table 1 Light - Accent 6"/>
    <w:basedOn w:val="7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 w:customStyle="1">
    <w:name w:val="Grid Table 2"/>
    <w:basedOn w:val="7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2 - Accent 1"/>
    <w:basedOn w:val="7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 w:customStyle="1">
    <w:name w:val="Grid Table 2 - Accent 2"/>
    <w:basedOn w:val="7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 w:customStyle="1">
    <w:name w:val="Grid Table 2 - Accent 3"/>
    <w:basedOn w:val="7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 w:customStyle="1">
    <w:name w:val="Grid Table 2 - Accent 4"/>
    <w:basedOn w:val="7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Grid Table 2 - Accent 5"/>
    <w:basedOn w:val="7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Grid Table 2 - Accent 6"/>
    <w:basedOn w:val="7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Grid Table 3"/>
    <w:basedOn w:val="7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Grid Table 3 - Accent 1"/>
    <w:basedOn w:val="7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Grid Table 3 - Accent 2"/>
    <w:basedOn w:val="7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Grid Table 3 - Accent 3"/>
    <w:basedOn w:val="7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Grid Table 3 - Accent 4"/>
    <w:basedOn w:val="7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Grid Table 3 - Accent 5"/>
    <w:basedOn w:val="7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Grid Table 3 - Accent 6"/>
    <w:basedOn w:val="7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Grid Table 4"/>
    <w:basedOn w:val="702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6" w:customStyle="1">
    <w:name w:val="Grid Table 4 - Accent 1"/>
    <w:basedOn w:val="702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57" w:customStyle="1">
    <w:name w:val="Grid Table 4 - Accent 2"/>
    <w:basedOn w:val="702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58" w:customStyle="1">
    <w:name w:val="Grid Table 4 - Accent 3"/>
    <w:basedOn w:val="702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59" w:customStyle="1">
    <w:name w:val="Grid Table 4 - Accent 4"/>
    <w:basedOn w:val="702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60" w:customStyle="1">
    <w:name w:val="Grid Table 4 - Accent 5"/>
    <w:basedOn w:val="702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61" w:customStyle="1">
    <w:name w:val="Grid Table 4 - Accent 6"/>
    <w:basedOn w:val="702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62" w:customStyle="1">
    <w:name w:val="Grid Table 5 Dark"/>
    <w:basedOn w:val="7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63" w:customStyle="1">
    <w:name w:val="Grid Table 5 Dark- Accent 1"/>
    <w:basedOn w:val="7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64" w:customStyle="1">
    <w:name w:val="Grid Table 5 Dark - Accent 2"/>
    <w:basedOn w:val="7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65" w:customStyle="1">
    <w:name w:val="Grid Table 5 Dark - Accent 3"/>
    <w:basedOn w:val="7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66" w:customStyle="1">
    <w:name w:val="Grid Table 5 Dark- Accent 4"/>
    <w:basedOn w:val="7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67" w:customStyle="1">
    <w:name w:val="Grid Table 5 Dark - Accent 5"/>
    <w:basedOn w:val="7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68" w:customStyle="1">
    <w:name w:val="Grid Table 5 Dark - Accent 6"/>
    <w:basedOn w:val="7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69" w:customStyle="1">
    <w:name w:val="Grid Table 6 Colorful"/>
    <w:basedOn w:val="7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70" w:customStyle="1">
    <w:name w:val="Grid Table 6 Colorful - Accent 1"/>
    <w:basedOn w:val="7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71" w:customStyle="1">
    <w:name w:val="Grid Table 6 Colorful - Accent 2"/>
    <w:basedOn w:val="7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72" w:customStyle="1">
    <w:name w:val="Grid Table 6 Colorful - Accent 3"/>
    <w:basedOn w:val="7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73" w:customStyle="1">
    <w:name w:val="Grid Table 6 Colorful - Accent 4"/>
    <w:basedOn w:val="7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74" w:customStyle="1">
    <w:name w:val="Grid Table 6 Colorful - Accent 5"/>
    <w:basedOn w:val="7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75" w:customStyle="1">
    <w:name w:val="Grid Table 6 Colorful - Accent 6"/>
    <w:basedOn w:val="7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76" w:customStyle="1">
    <w:name w:val="Grid Table 7 Colorful"/>
    <w:basedOn w:val="7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7" w:customStyle="1">
    <w:name w:val="Grid Table 7 Colorful - Accent 1"/>
    <w:basedOn w:val="7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CCCEA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CCCEA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8" w:customStyle="1">
    <w:name w:val="Grid Table 7 Colorful - Accent 2"/>
    <w:basedOn w:val="7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9" w:customStyle="1">
    <w:name w:val="Grid Table 7 Colorful - Accent 3"/>
    <w:basedOn w:val="7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0" w:customStyle="1">
    <w:name w:val="Grid Table 7 Colorful - Accent 4"/>
    <w:basedOn w:val="7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1" w:customStyle="1">
    <w:name w:val="Grid Table 7 Colorful - Accent 5"/>
    <w:basedOn w:val="7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5AFDD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5AFDD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2" w:customStyle="1">
    <w:name w:val="Grid Table 7 Colorful - Accent 6"/>
    <w:basedOn w:val="70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3" w:customStyle="1">
    <w:name w:val="List Table 1 Light"/>
    <w:basedOn w:val="70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List Table 1 Light - Accent 1"/>
    <w:basedOn w:val="70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List Table 1 Light - Accent 2"/>
    <w:basedOn w:val="70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List Table 1 Light - Accent 3"/>
    <w:basedOn w:val="70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List Table 1 Light - Accent 4"/>
    <w:basedOn w:val="70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List Table 1 Light - Accent 5"/>
    <w:basedOn w:val="70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List Table 1 Light - Accent 6"/>
    <w:basedOn w:val="70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List Table 2"/>
    <w:basedOn w:val="7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91" w:customStyle="1">
    <w:name w:val="List Table 2 - Accent 1"/>
    <w:basedOn w:val="7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92" w:customStyle="1">
    <w:name w:val="List Table 2 - Accent 2"/>
    <w:basedOn w:val="7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93" w:customStyle="1">
    <w:name w:val="List Table 2 - Accent 3"/>
    <w:basedOn w:val="7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94" w:customStyle="1">
    <w:name w:val="List Table 2 - Accent 4"/>
    <w:basedOn w:val="7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95" w:customStyle="1">
    <w:name w:val="List Table 2 - Accent 5"/>
    <w:basedOn w:val="7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96" w:customStyle="1">
    <w:name w:val="List Table 2 - Accent 6"/>
    <w:basedOn w:val="7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97" w:customStyle="1">
    <w:name w:val="List Table 3"/>
    <w:basedOn w:val="7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List Table 3 - Accent 1"/>
    <w:basedOn w:val="7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 w:customStyle="1">
    <w:name w:val="List Table 3 - Accent 2"/>
    <w:basedOn w:val="7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 w:customStyle="1">
    <w:name w:val="List Table 3 - Accent 3"/>
    <w:basedOn w:val="7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 w:customStyle="1">
    <w:name w:val="List Table 3 - Accent 4"/>
    <w:basedOn w:val="7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List Table 3 - Accent 5"/>
    <w:basedOn w:val="7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 w:customStyle="1">
    <w:name w:val="List Table 3 - Accent 6"/>
    <w:basedOn w:val="7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List Table 4"/>
    <w:basedOn w:val="7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List Table 4 - Accent 1"/>
    <w:basedOn w:val="7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List Table 4 - Accent 2"/>
    <w:basedOn w:val="7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List Table 4 - Accent 3"/>
    <w:basedOn w:val="7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List Table 4 - Accent 4"/>
    <w:basedOn w:val="7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List Table 4 - Accent 5"/>
    <w:basedOn w:val="7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List Table 4 - Accent 6"/>
    <w:basedOn w:val="7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 w:customStyle="1">
    <w:name w:val="List Table 5 Dark"/>
    <w:basedOn w:val="7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2" w:customStyle="1">
    <w:name w:val="List Table 5 Dark - Accent 1"/>
    <w:basedOn w:val="7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3" w:customStyle="1">
    <w:name w:val="List Table 5 Dark - Accent 2"/>
    <w:basedOn w:val="7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4" w:customStyle="1">
    <w:name w:val="List Table 5 Dark - Accent 3"/>
    <w:basedOn w:val="7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5" w:customStyle="1">
    <w:name w:val="List Table 5 Dark - Accent 4"/>
    <w:basedOn w:val="7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6" w:customStyle="1">
    <w:name w:val="List Table 5 Dark - Accent 5"/>
    <w:basedOn w:val="7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7" w:customStyle="1">
    <w:name w:val="List Table 5 Dark - Accent 6"/>
    <w:basedOn w:val="7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8" w:customStyle="1">
    <w:name w:val="List Table 6 Colorful"/>
    <w:basedOn w:val="7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19" w:customStyle="1">
    <w:name w:val="List Table 6 Colorful - Accent 1"/>
    <w:basedOn w:val="7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20" w:customStyle="1">
    <w:name w:val="List Table 6 Colorful - Accent 2"/>
    <w:basedOn w:val="7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21" w:customStyle="1">
    <w:name w:val="List Table 6 Colorful - Accent 3"/>
    <w:basedOn w:val="7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22" w:customStyle="1">
    <w:name w:val="List Table 6 Colorful - Accent 4"/>
    <w:basedOn w:val="7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23" w:customStyle="1">
    <w:name w:val="List Table 6 Colorful - Accent 5"/>
    <w:basedOn w:val="7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24" w:customStyle="1">
    <w:name w:val="List Table 6 Colorful - Accent 6"/>
    <w:basedOn w:val="7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25" w:customStyle="1">
    <w:name w:val="List Table 7 Colorful"/>
    <w:basedOn w:val="70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6" w:customStyle="1">
    <w:name w:val="List Table 7 Colorful - Accent 1"/>
    <w:basedOn w:val="70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7" w:customStyle="1">
    <w:name w:val="List Table 7 Colorful - Accent 2"/>
    <w:basedOn w:val="70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8" w:customStyle="1">
    <w:name w:val="List Table 7 Colorful - Accent 3"/>
    <w:basedOn w:val="70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9" w:customStyle="1">
    <w:name w:val="List Table 7 Colorful - Accent 4"/>
    <w:basedOn w:val="70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0" w:customStyle="1">
    <w:name w:val="List Table 7 Colorful - Accent 5"/>
    <w:basedOn w:val="70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8DA9DB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8DA9DB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1" w:customStyle="1">
    <w:name w:val="List Table 7 Colorful - Accent 6"/>
    <w:basedOn w:val="70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2" w:customStyle="1">
    <w:name w:val="Lined - Accent"/>
    <w:basedOn w:val="70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3" w:customStyle="1">
    <w:name w:val="Lined - Accent 1"/>
    <w:basedOn w:val="70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34" w:customStyle="1">
    <w:name w:val="Lined - Accent 2"/>
    <w:basedOn w:val="70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35" w:customStyle="1">
    <w:name w:val="Lined - Accent 3"/>
    <w:basedOn w:val="70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36" w:customStyle="1">
    <w:name w:val="Lined - Accent 4"/>
    <w:basedOn w:val="70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37" w:customStyle="1">
    <w:name w:val="Lined - Accent 5"/>
    <w:basedOn w:val="70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38" w:customStyle="1">
    <w:name w:val="Lined - Accent 6"/>
    <w:basedOn w:val="70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39" w:customStyle="1">
    <w:name w:val="Bordered &amp; Lined - Accent"/>
    <w:basedOn w:val="70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40" w:customStyle="1">
    <w:name w:val="Bordered &amp; Lined - Accent 1"/>
    <w:basedOn w:val="70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41" w:customStyle="1">
    <w:name w:val="Bordered &amp; Lined - Accent 2"/>
    <w:basedOn w:val="70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42" w:customStyle="1">
    <w:name w:val="Bordered &amp; Lined - Accent 3"/>
    <w:basedOn w:val="70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43" w:customStyle="1">
    <w:name w:val="Bordered &amp; Lined - Accent 4"/>
    <w:basedOn w:val="70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44" w:customStyle="1">
    <w:name w:val="Bordered &amp; Lined - Accent 5"/>
    <w:basedOn w:val="70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45" w:customStyle="1">
    <w:name w:val="Bordered &amp; Lined - Accent 6"/>
    <w:basedOn w:val="70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46" w:customStyle="1">
    <w:name w:val="Bordered"/>
    <w:basedOn w:val="7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47" w:customStyle="1">
    <w:name w:val="Bordered - Accent 1"/>
    <w:basedOn w:val="7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48" w:customStyle="1">
    <w:name w:val="Bordered - Accent 2"/>
    <w:basedOn w:val="7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49" w:customStyle="1">
    <w:name w:val="Bordered - Accent 3"/>
    <w:basedOn w:val="7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50" w:customStyle="1">
    <w:name w:val="Bordered - Accent 4"/>
    <w:basedOn w:val="7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51" w:customStyle="1">
    <w:name w:val="Bordered - Accent 5"/>
    <w:basedOn w:val="7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52" w:customStyle="1">
    <w:name w:val="Bordered - Accent 6"/>
    <w:basedOn w:val="70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53">
    <w:name w:val="Hyperlink"/>
    <w:uiPriority w:val="99"/>
    <w:unhideWhenUsed/>
    <w:rPr>
      <w:color w:val="0563c1" w:themeColor="hyperlink"/>
      <w:u w:val="single"/>
    </w:rPr>
  </w:style>
  <w:style w:type="paragraph" w:styleId="854">
    <w:name w:val="footnote text"/>
    <w:basedOn w:val="691"/>
    <w:link w:val="855"/>
    <w:uiPriority w:val="99"/>
    <w:semiHidden/>
    <w:unhideWhenUsed/>
    <w:pPr>
      <w:spacing w:after="40" w:line="240" w:lineRule="auto"/>
    </w:pPr>
    <w:rPr>
      <w:sz w:val="18"/>
    </w:rPr>
  </w:style>
  <w:style w:type="character" w:styleId="855" w:customStyle="1">
    <w:name w:val="Текст сноски Знак"/>
    <w:link w:val="854"/>
    <w:uiPriority w:val="99"/>
    <w:rPr>
      <w:sz w:val="18"/>
    </w:rPr>
  </w:style>
  <w:style w:type="character" w:styleId="856">
    <w:name w:val="footnote reference"/>
    <w:uiPriority w:val="99"/>
    <w:unhideWhenUsed/>
    <w:rPr>
      <w:vertAlign w:val="superscript"/>
    </w:rPr>
  </w:style>
  <w:style w:type="paragraph" w:styleId="857">
    <w:name w:val="endnote text"/>
    <w:basedOn w:val="691"/>
    <w:link w:val="858"/>
    <w:uiPriority w:val="99"/>
    <w:semiHidden/>
    <w:unhideWhenUsed/>
    <w:pPr>
      <w:spacing w:after="0" w:line="240" w:lineRule="auto"/>
    </w:pPr>
    <w:rPr>
      <w:sz w:val="20"/>
    </w:rPr>
  </w:style>
  <w:style w:type="character" w:styleId="858" w:customStyle="1">
    <w:name w:val="Текст концевой сноски Знак"/>
    <w:link w:val="857"/>
    <w:uiPriority w:val="99"/>
    <w:rPr>
      <w:sz w:val="20"/>
    </w:rPr>
  </w:style>
  <w:style w:type="character" w:styleId="859">
    <w:name w:val="endnote reference"/>
    <w:uiPriority w:val="99"/>
    <w:semiHidden/>
    <w:unhideWhenUsed/>
    <w:rPr>
      <w:vertAlign w:val="superscript"/>
    </w:rPr>
  </w:style>
  <w:style w:type="paragraph" w:styleId="860">
    <w:name w:val="toc 1"/>
    <w:basedOn w:val="691"/>
    <w:next w:val="691"/>
    <w:uiPriority w:val="39"/>
    <w:unhideWhenUsed/>
    <w:pPr>
      <w:spacing w:after="57"/>
    </w:pPr>
  </w:style>
  <w:style w:type="paragraph" w:styleId="861">
    <w:name w:val="toc 2"/>
    <w:basedOn w:val="691"/>
    <w:next w:val="691"/>
    <w:uiPriority w:val="39"/>
    <w:unhideWhenUsed/>
    <w:pPr>
      <w:ind w:left="283"/>
      <w:spacing w:after="57"/>
    </w:pPr>
  </w:style>
  <w:style w:type="paragraph" w:styleId="862">
    <w:name w:val="toc 3"/>
    <w:basedOn w:val="691"/>
    <w:next w:val="691"/>
    <w:uiPriority w:val="39"/>
    <w:unhideWhenUsed/>
    <w:pPr>
      <w:ind w:left="567"/>
      <w:spacing w:after="57"/>
    </w:pPr>
  </w:style>
  <w:style w:type="paragraph" w:styleId="863">
    <w:name w:val="toc 4"/>
    <w:basedOn w:val="691"/>
    <w:next w:val="691"/>
    <w:uiPriority w:val="39"/>
    <w:unhideWhenUsed/>
    <w:pPr>
      <w:ind w:left="850"/>
      <w:spacing w:after="57"/>
    </w:pPr>
  </w:style>
  <w:style w:type="paragraph" w:styleId="864">
    <w:name w:val="toc 5"/>
    <w:basedOn w:val="691"/>
    <w:next w:val="691"/>
    <w:uiPriority w:val="39"/>
    <w:unhideWhenUsed/>
    <w:pPr>
      <w:ind w:left="1134"/>
      <w:spacing w:after="57"/>
    </w:pPr>
  </w:style>
  <w:style w:type="paragraph" w:styleId="865">
    <w:name w:val="toc 6"/>
    <w:basedOn w:val="691"/>
    <w:next w:val="691"/>
    <w:uiPriority w:val="39"/>
    <w:unhideWhenUsed/>
    <w:pPr>
      <w:ind w:left="1417"/>
      <w:spacing w:after="57"/>
    </w:pPr>
  </w:style>
  <w:style w:type="paragraph" w:styleId="866">
    <w:name w:val="toc 7"/>
    <w:basedOn w:val="691"/>
    <w:next w:val="691"/>
    <w:uiPriority w:val="39"/>
    <w:unhideWhenUsed/>
    <w:pPr>
      <w:ind w:left="1701"/>
      <w:spacing w:after="57"/>
    </w:pPr>
  </w:style>
  <w:style w:type="paragraph" w:styleId="867">
    <w:name w:val="toc 8"/>
    <w:basedOn w:val="691"/>
    <w:next w:val="691"/>
    <w:uiPriority w:val="39"/>
    <w:unhideWhenUsed/>
    <w:pPr>
      <w:ind w:left="1984"/>
      <w:spacing w:after="57"/>
    </w:pPr>
  </w:style>
  <w:style w:type="paragraph" w:styleId="868">
    <w:name w:val="toc 9"/>
    <w:basedOn w:val="691"/>
    <w:next w:val="691"/>
    <w:uiPriority w:val="39"/>
    <w:unhideWhenUsed/>
    <w:pPr>
      <w:ind w:left="2268"/>
      <w:spacing w:after="57"/>
    </w:pPr>
  </w:style>
  <w:style w:type="paragraph" w:styleId="869">
    <w:name w:val="TOC Heading"/>
    <w:uiPriority w:val="39"/>
    <w:unhideWhenUsed/>
  </w:style>
  <w:style w:type="paragraph" w:styleId="870">
    <w:name w:val="table of figures"/>
    <w:basedOn w:val="691"/>
    <w:next w:val="691"/>
    <w:uiPriority w:val="99"/>
    <w:unhideWhenUsed/>
    <w:pPr>
      <w:spacing w:after="0"/>
    </w:pPr>
  </w:style>
  <w:style w:type="paragraph" w:styleId="871">
    <w:name w:val="No Spacing"/>
    <w:basedOn w:val="691"/>
    <w:uiPriority w:val="1"/>
    <w:qFormat/>
    <w:pPr>
      <w:spacing w:after="0" w:line="240" w:lineRule="auto"/>
    </w:pPr>
  </w:style>
  <w:style w:type="paragraph" w:styleId="872">
    <w:name w:val="List Paragraph"/>
    <w:basedOn w:val="691"/>
    <w:uiPriority w:val="34"/>
    <w:qFormat/>
    <w:pPr>
      <w:contextualSpacing/>
      <w:ind w:left="720"/>
    </w:pPr>
  </w:style>
  <w:style w:type="paragraph" w:styleId="873" w:customStyle="1">
    <w:name w:val="Основной текст1"/>
    <w:pPr>
      <w:ind w:firstLine="400"/>
      <w:spacing w:after="0" w:line="240" w:lineRule="auto"/>
      <w:shd w:val="clear" w:color="auto" w:fill="ffffff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 w:cs="Times New Roman"/>
      <w:sz w:val="98"/>
      <w:szCs w:val="98"/>
      <w:lang w:eastAsia="ru-RU"/>
    </w:rPr>
  </w:style>
  <w:style w:type="paragraph" w:styleId="874" w:customStyle="1">
    <w:name w:val="Текст_бюл"/>
    <w:pPr>
      <w:ind w:left="360" w:hanging="360"/>
      <w:jc w:val="both"/>
      <w:spacing w:after="0" w:line="240" w:lineRule="auto"/>
      <w:tabs>
        <w:tab w:val="num" w:pos="360" w:leader="none"/>
        <w:tab w:val="left" w:pos="851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MS Mincho" w:cs="Times New Roman"/>
      <w:sz w:val="26"/>
      <w:szCs w:val="26"/>
      <w:lang w:eastAsia="ru-RU"/>
    </w:rPr>
  </w:style>
  <w:style w:type="paragraph" w:styleId="875" w:customStyle="1">
    <w:name w:val="Текст макроса1"/>
    <w:uiPriority w:val="99"/>
    <w:pPr>
      <w:spacing w:after="0" w:line="240" w:lineRule="auto"/>
      <w:tabs>
        <w:tab w:val="left" w:pos="480" w:leader="none"/>
        <w:tab w:val="left" w:pos="960" w:leader="none"/>
        <w:tab w:val="left" w:pos="1440" w:leader="none"/>
        <w:tab w:val="left" w:pos="1920" w:leader="none"/>
        <w:tab w:val="left" w:pos="2400" w:leader="none"/>
        <w:tab w:val="left" w:pos="2880" w:leader="none"/>
        <w:tab w:val="left" w:pos="3360" w:leader="none"/>
        <w:tab w:val="left" w:pos="3840" w:leader="none"/>
        <w:tab w:val="left" w:pos="4320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Pragmatica" w:hAnsi="Pragmatica" w:eastAsia="Times New Roman" w:cs="Times New Roman"/>
      <w:sz w:val="20"/>
      <w:szCs w:val="20"/>
      <w:lang w:val="en-GB"/>
    </w:rPr>
  </w:style>
  <w:style w:type="character" w:styleId="876" w:customStyle="1">
    <w:name w:val="Font Style13"/>
    <w:uiPriority w:val="99"/>
    <w:rPr>
      <w:rFonts w:ascii="Times New Roman" w:hAnsi="Times New Roman" w:cs="Times New Roman"/>
      <w:color w:val="000000"/>
      <w:sz w:val="20"/>
      <w:szCs w:val="20"/>
    </w:rPr>
  </w:style>
  <w:style w:type="paragraph" w:styleId="877">
    <w:name w:val="Balloon Text"/>
    <w:basedOn w:val="691"/>
    <w:link w:val="878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78" w:customStyle="1">
    <w:name w:val="Текст выноски Знак"/>
    <w:basedOn w:val="701"/>
    <w:link w:val="877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yperlink" Target="https://zakupki.gov.ru/epz/ktru/ktruCard/commonInfo.html?itemId=61.10.40.000-00000026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Бородин Роман Юрьевич</dc:creator>
  <cp:lastModifiedBy>kuraishnsh</cp:lastModifiedBy>
  <cp:revision>15</cp:revision>
  <dcterms:created xsi:type="dcterms:W3CDTF">2026-02-03T23:05:00Z</dcterms:created>
  <dcterms:modified xsi:type="dcterms:W3CDTF">2026-04-01T03:59:42Z</dcterms:modified>
</cp:coreProperties>
</file>